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MINUTES OF THE ROWLANDS CASTLE ASSOCIATION (RCA)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ANNUAL GENERAL MEETING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Held on Tuesday 14</w:t>
      </w:r>
      <w:r>
        <w:rPr>
          <w:vertAlign w:val="superscript"/>
          <w:color w:val="auto"/>
          <w:position w:val="0"/>
          <w:sz w:val="22"/>
          <w:szCs w:val="22"/>
          <w:rFonts w:ascii="Calibri" w:eastAsia="Times New Roman" w:hAnsi="Times New Roman" w:hint="default"/>
        </w:rPr>
        <w:t>th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March, 2017 in the Small Parish Hall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Apologies for absence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None received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Present: Committee Members: Fiona Charlesworth (Chair ), Martha Dombey(Treasurer), Sue Leonard (Secretary), Sue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Morrison, Deborah Richards, Gordon Charlesworth, Helen Penfold, Joyce Jacobs. New member Rodney Duggua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President: Alan Drinkwater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Vice President: Alan Eyers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Guest Speakers: U3A Rowlands Castle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Members: 22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Minutes of Annual General Meeting of 2016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These were read by those in attendance and were agreed as a true representation of the meeting. The Minutes were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signed by the Chair, Fiona Charlesworth.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Matters arising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>None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Chairs report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The aims of the RCA are: to conserve the character of Rowlands Castle, to provide a channel of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communication on matters of local interest and to enhance the life of the village.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b w:val="1"/>
          <w:color w:val="auto"/>
          <w:position w:val="0"/>
          <w:sz w:val="22"/>
          <w:szCs w:val="22"/>
          <w:rFonts w:ascii="Arial-BoldMT" w:eastAsia="Arial-BoldMT" w:hAnsi="Arial-BoldMT" w:hint="default"/>
        </w:rPr>
        <w:t xml:space="preserve">Our first aim - to conserve the character of Rowlands Castle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The RCA fully supports the Neighbourhood Plan initiative and will probably have an RCA committee member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on the steering group. Having a Neighbourhood Plan in place for Rowlands Castle will ensure that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improvements to the village can be implemented, housing located in places that villagers consider appropriate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and the character of Rowlands Castle can be preserved.  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The RCA was involved in the nationwide Great British Spring Clean in Rowlands Castle and Finchdean. A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number of villagers helped pick up large amounts of litter around Rowlands Castle and Finchdean 3-5 March.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The RCA have supported Markwells Wood Watch by providing man power and finance to oppose UKOG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drilling for oil in the South Downs National Park. The oil drilling could contaminate our drinking water, spoil the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beauty of the SDNP, clog rural roads with large lorries carrying hazardous waste and affect flora and fauna in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the SDNP.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b w:val="1"/>
          <w:color w:val="auto"/>
          <w:position w:val="0"/>
          <w:sz w:val="22"/>
          <w:szCs w:val="22"/>
          <w:rFonts w:ascii="Arial-BoldMT" w:eastAsia="Arial-BoldMT" w:hAnsi="Arial-BoldMT" w:hint="default"/>
        </w:rPr>
        <w:t xml:space="preserve">Our second aim is to provide a channel of communication on matters of local interest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We continue to publish the Village Magazine under Kevin Connell’s editorship. Thank you Kevin for all your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hard work providing us with such an excellent magazine. It is wonderful how much copy is provided by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villagers both on an individual basis and as representatives of village organisations.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I would like to thank the army of deliverers, without whom we would not get our magazine, organised by David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Hooper. Gordon Charlesworth is about to take over this role from David. Thank you also to Prue Amner who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manages all the advertisements.  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We also have an RCA noticeboard outside the Londis shop, which advertises village events as well as RCA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information which all are welcome to use.  Please give notices to Sue Leonard or myself to put up.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My thanks to our webmaster, Gillian Lovegrove, who does a first rate job of managing the Rowlandscastle.com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website and the Grapevine email list.  Grapevine is run on behalf of the Village by the RCA, for everyone to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use. It is moderated by Martha Dombey with myself as deputy.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The grapevine is continuing to grow and currently has over 400 subscribers, which means about one-third of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the homes in the Village are now reached by Grapevine messages. In addition to running the Grapevine, we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host mailing lists for other village organisations, like friends of St Johns Parents and Teachers and the Village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Fair Committee.  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b w:val="1"/>
          <w:color w:val="auto"/>
          <w:position w:val="0"/>
          <w:sz w:val="22"/>
          <w:szCs w:val="22"/>
          <w:rFonts w:ascii="Arial-BoldMT" w:eastAsia="Arial-BoldMT" w:hAnsi="Arial-BoldMT" w:hint="default"/>
        </w:rPr>
        <w:t xml:space="preserve">Our third aim is to enhance the life of the village.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We enhance the life of the village through the events we organise.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b w:val="1"/>
          <w:color w:val="auto"/>
          <w:position w:val="0"/>
          <w:sz w:val="22"/>
          <w:szCs w:val="22"/>
          <w:rFonts w:ascii="Arial-BoldMT" w:eastAsia="Arial-BoldMT" w:hAnsi="Arial-BoldMT" w:hint="default"/>
        </w:rPr>
        <w:t xml:space="preserve">May Day Picnic on The Green:-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This is held on the Monday bank holiday at the beginning of May to raise money for Rowan’s Hospice. (1 May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this year) Everyone is invited to bring a picnic (or buy from our BBQ) Blendworth Brass Band entertain us with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their music, Jan Halliwell organises the interesting display of vintage cars and Pat Carter and Rita Sandy sell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plants. Tea on the Green café sell drinks and cakes. Many thanks to all who donated to the Rowans Hospice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during the picnic, enabling us to give Rowans £1015.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b w:val="1"/>
          <w:color w:val="auto"/>
          <w:position w:val="0"/>
          <w:sz w:val="22"/>
          <w:szCs w:val="22"/>
          <w:rFonts w:ascii="Arial-BoldMT" w:eastAsia="Arial-BoldMT" w:hAnsi="Arial-BoldMT" w:hint="default"/>
        </w:rPr>
        <w:t xml:space="preserve">Fireworks:-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For many years we have run the bonfire and fireworks display in November. Running the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fireworks night is quite a logistical feat and we are very grateful to Geoff Jacobs and Sue Morrison who did all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the organising last year. I would like to thank all who make it possible, including Selstar for the fireworks, Bill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Burnett for the fairground attractions, the Scouts and Guides for refreshments, St Johns Ambulance and the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Police for keeping us safe. I’d also like to thank all the volunteers who get up early to clear up the morning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after to make the pitches safe for the footballers.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The fireworks night was a great success last November, with a fantastic display from Selstar watched by a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record crowd. We trialled the evening without a bonfire and had our highest support ever! We have decided to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limit advertising to within the Village this year as there is only a small amount of parking available in the Golf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Club and very little street parking.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b w:val="1"/>
          <w:color w:val="auto"/>
          <w:position w:val="0"/>
          <w:sz w:val="22"/>
          <w:szCs w:val="22"/>
          <w:rFonts w:ascii="Arial-BoldMT" w:eastAsia="Arial-BoldMT" w:hAnsi="Arial-BoldMT" w:hint="default"/>
        </w:rPr>
        <w:t xml:space="preserve">Children’s Christmas party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We organise the children’s Christmas party each year. Many thanks to Anita King, who kindly arranges the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party. Many thanks also to Alan Eyers for his appearance as Santa and Koko King for being such a lovely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helper to Santa.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b w:val="1"/>
          <w:color w:val="auto"/>
          <w:position w:val="0"/>
          <w:sz w:val="22"/>
          <w:szCs w:val="22"/>
          <w:rFonts w:ascii="Arial-BoldMT" w:eastAsia="Arial-BoldMT" w:hAnsi="Arial-BoldMT" w:hint="default"/>
        </w:rPr>
        <w:t xml:space="preserve">RCA Quiz:-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For the last few years we have had a quiz night, which is now a regular part of the RCA calendar.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Many thanks to Sue Connell for setting such excellent questions, Kevin for marking and Dave Richardson for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acting as a superb quiz master. This year we donated our quiz profit to Friends of St Huberts Church to help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with major repair work.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b w:val="1"/>
          <w:color w:val="auto"/>
          <w:position w:val="0"/>
          <w:sz w:val="22"/>
          <w:szCs w:val="22"/>
          <w:rFonts w:ascii="Arial-BoldMT" w:eastAsia="Arial-BoldMT" w:hAnsi="Arial-BoldMT" w:hint="default"/>
        </w:rPr>
        <w:t xml:space="preserve">Supporting other village groups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We also enhance the life of the village supporting other village groups by making donations.  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This year we have:-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MS Mincho" w:eastAsia="MS Mincho" w:hAnsi="MS Mincho" w:hint="default"/>
        </w:rPr>
        <w:t>❖</w:t>
      </w: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 xml:space="preserve">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Bought a heated trolley for RVS luncheon group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MS Mincho" w:eastAsia="MS Mincho" w:hAnsi="MS Mincho" w:hint="default"/>
        </w:rPr>
        <w:t>❖</w:t>
      </w: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 xml:space="preserve">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Helped pay for improvements to the Rowlands Castle allotment car park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MS Mincho" w:eastAsia="MS Mincho" w:hAnsi="MS Mincho" w:hint="default"/>
        </w:rPr>
        <w:t>❖</w:t>
      </w: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 xml:space="preserve">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Bought tents for the Guides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MS Mincho" w:eastAsia="MS Mincho" w:hAnsi="MS Mincho" w:hint="default"/>
        </w:rPr>
        <w:t>❖</w:t>
      </w: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 xml:space="preserve">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Donated to Friends of St Huberts Church repair fund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MS Mincho" w:eastAsia="MS Mincho" w:hAnsi="MS Mincho" w:hint="default"/>
        </w:rPr>
        <w:t>❖</w:t>
      </w: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 xml:space="preserve">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Donated to Rowans Hospice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MS Mincho" w:eastAsia="MS Mincho" w:hAnsi="MS Mincho" w:hint="default"/>
        </w:rPr>
        <w:t>❖</w:t>
      </w: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 xml:space="preserve">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Donated to Markwells Wood Watch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MS Mincho" w:eastAsia="MS Mincho" w:hAnsi="MS Mincho" w:hint="default"/>
        </w:rPr>
        <w:t>❖</w:t>
      </w: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 xml:space="preserve">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Paid for the Rowlands Castle Heritage Centre advertisement and photographic competition prizes.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MS Mincho" w:eastAsia="MS Mincho" w:hAnsi="MS Mincho" w:hint="default"/>
        </w:rPr>
        <w:t>❖</w:t>
      </w: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 xml:space="preserve">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Paid for the Children’s Christmas Party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720" w:hanging="72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We have a number of groups and societies that have requested funds for forthcoming projects’. These include: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>-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MS Mincho" w:eastAsia="MS Mincho" w:hAnsi="MS Mincho" w:hint="default"/>
        </w:rPr>
        <w:t>➢</w:t>
      </w: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 xml:space="preserve">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St John’s School PTA for 2 outdoor table tennis tables and trim trail equipment.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MS Mincho" w:eastAsia="MS Mincho" w:hAnsi="MS Mincho" w:hint="default"/>
        </w:rPr>
        <w:t>➢</w:t>
      </w: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 xml:space="preserve">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The Church on The Green for refurbishment of the Church and to increase the hall space.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MS Mincho" w:eastAsia="MS Mincho" w:hAnsi="MS Mincho" w:hint="default"/>
        </w:rPr>
        <w:t>➢</w:t>
      </w: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 xml:space="preserve">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The Tennis Club to install floodlighting on their courts.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MS Mincho" w:eastAsia="MS Mincho" w:hAnsi="MS Mincho" w:hint="default"/>
        </w:rPr>
        <w:t>➢</w:t>
      </w: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 xml:space="preserve">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Scouts to make major repairs to their hut.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MS Mincho" w:eastAsia="MS Mincho" w:hAnsi="MS Mincho" w:hint="default"/>
        </w:rPr>
        <w:t>➢</w:t>
      </w: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 xml:space="preserve">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Castle United Football Club have requested a donation to fund new football kit.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720" w:hanging="72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t> 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b w:val="1"/>
          <w:color w:val="auto"/>
          <w:position w:val="0"/>
          <w:sz w:val="22"/>
          <w:szCs w:val="22"/>
          <w:rFonts w:ascii="Arial-BoldMT" w:eastAsia="Arial-BoldMT" w:hAnsi="Arial-BoldMT" w:hint="default"/>
        </w:rPr>
        <w:t xml:space="preserve">Closing remarks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I’m happy to report that the RCA is in good shape both financially and in terms of the very able people who are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currently running the Association on behalf of all of us. We would like to thank our President Alan Drinkwater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and Vice President Alan Eyers for all their support throughout the year.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Two of the committee have stood down during the past year: David Hooper and Geoff Jacobs. I would like to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thank them both for all their hard work and input into the RCA committee.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MT" w:eastAsia="ArialMT" w:hAnsi="Arial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We would like to welcome Rodney Duggua who is joining the Committee, but we desperately need more new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members on the Committee as the majority of the committee have done their allocated years according to the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RCA constitution and are being reinstated each year at the AGM. If you would like to join (or know someone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who would) do ask one of the committee after this meeting or drop me an email. It is fun, worthwhile and you </w:t>
      </w: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get to know new faces.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MT" w:eastAsia="ArialMT" w:hAnsi="ArialMT" w:hint="default"/>
        </w:rPr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MT" w:eastAsia="ArialMT" w:hAnsi="Arial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Shirley Varnish thanked Fiona for her clear report on the RCA activities.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MT" w:eastAsia="ArialMT" w:hAnsi="ArialMT" w:hint="default"/>
        </w:rPr>
        <w:autoSpaceDE w:val="0"/>
        <w:autoSpaceDN w:val="0"/>
      </w:pPr>
      <w:r>
        <w:rPr>
          <w:color w:val="auto"/>
          <w:position w:val="0"/>
          <w:sz w:val="22"/>
          <w:szCs w:val="22"/>
          <w:rFonts w:ascii="ArialMT" w:eastAsia="ArialMT" w:hAnsi="ArialMT" w:hint="default"/>
        </w:rPr>
        <w:t xml:space="preserve">Andrew Callender thanked the RCA committee for their work and financial support for St Hubert's.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NewRomanPSMT" w:eastAsia="TimesNewRomanPSMT" w:hAnsi="TimesNewRomanPSMT" w:hint="default"/>
        </w:rPr>
        <w:autoSpaceDE w:val="0"/>
        <w:autoSpaceDN w:val="0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Treasurer’s report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RCA financial year ended on 31st December 2016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accounts were audited by Sandra Hodgetts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Receipts for the year £11,168.98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Payments for the year £7,412.71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Excess of Income over expenditure £3,756.27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Bank Accounts stood at £ 19,107.66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Cash in Hand £100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Martha asked if anyone knew of any organisations who needed donations to contact her.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Collecting boxes are not going to be used anymore for door to door collecting. There will just be one in the Hardware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>Store.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Confirmation of President and Vice President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RCA Committee unanimously confirmed Alan Drinkwater as President and Alan Eyers as Vice President.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Alan Drinkwater thanked the committee for their hard work over the year. He said it is not a static organisation and it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has taken on many new initiatives such as the May Day picnic, The Great British Spring Clean, RCHC, and the U3A. He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suggested that if people were interested in joining the committee then go to a committee meeting to see what it is like.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Election of officers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This part of the AGM was also presented by Alan Drinkwater and the election went as follows: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Chair – Fiona Charlesworth  voted as Chair, unanimous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Treasurer – Martha Dombey voted as Treasurer, unanimous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Secretary – Sue Leonard  voted as Secretary, unanimous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Election of committee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remaining Committee members were announced by Alan Drinkwater, all of whom were also voted in unanimously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–Sue Morrison, Deborah Richards, Joyce Jacobs, Helen Penfold and Gordon Charlesworth.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Rodney Duggua was voted in as new committee member. Kevin Connell will continue as Editor, and Gillian Lovegrove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will continue as Webmaster.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Fiona Charlesworth  closed this part of the proceedings and thanked Alan for his presentation.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Any other business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Alan Eyers asked about the music at the Firework night. MD responded that she had contacted EHDC and the TENs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license doesn't apply. This was clarified by EHDC.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Directory. It is now up dated online by MD. There is no longer a hard copy. MD will send a Grapevine message about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this and a notice put in the RCA notice board. In the magazine we will make it clear that it is online and if any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amendments are needed to contact MD.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Fiona Charlesworth introduced Members of Rowlands Castle U3A who spoke to the meeting about the U3A. Shirley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Varnish (U3A Secretary), June Halford (French), Dave Mitchell (Cycling), Joan Hooper (Play reading), Helen Penfold </w:t>
      </w: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(Nature Walking).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Fiona  thanked The U3A for their very interesting talks.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>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The meeting closed at 7.50 pm and was followed by nibbles and drinks.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sectPr>
      <w:pgSz w:w="11906" w:h="16838"/>
      <w:pgMar w:top="851" w:left="567" w:bottom="284" w:right="567" w:header="709" w:footer="709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NewRomanPSM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M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-BoldM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S Mincho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tab"/>
      <w:pPr>
        <w:ind w:left="720" w:hanging="360"/>
        <w:jc w:val="both"/>
      </w:pPr>
      <w:rPr>
        <w:shd w:val="clear"/>
        <w:sz w:val="20"/>
        <w:szCs w:val="20"/>
        <w:w w:val="100"/>
      </w:rPr>
      <w:lvlText w:val="%1)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abstractNum w:abstractNumId="1">
    <w:multiLevelType w:val="hybridMultilevel"/>
    <w:nsid w:val="000001"/>
    <w:tmpl w:val="004823"/>
    <w:lvl w:ilvl="0">
      <w:lvlJc w:val="left"/>
      <w:numFmt w:val="decimal"/>
      <w:start w:val="1"/>
      <w:suff w:val="tab"/>
      <w:pPr>
        <w:ind w:left="720" w:hanging="360"/>
        <w:jc w:val="both"/>
      </w:pPr>
      <w:rPr>
        <w:shd w:val="clear"/>
        <w:sz w:val="20"/>
        <w:szCs w:val="20"/>
        <w:w w:val="100"/>
      </w:rPr>
      <w:lvlText w:val="%1)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4"/>
        <w:szCs w:val="24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rPr>
      <w:rFonts w:ascii="Calibri" w:eastAsia="Times New Roman" w:hAnsi="Calibri"/>
      <w:shd w:val="clear"/>
      <w:sz w:val="22"/>
      <w:szCs w:val="22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10212</Characters>
  <CharactersWithSpaces>0</CharactersWithSpaces>
  <DocSecurity>0</DocSecurity>
  <HyperlinksChanged>false</HyperlinksChanged>
  <Lines>72</Lines>
  <LinksUpToDate>false</LinksUpToDate>
  <Pages>3</Pages>
  <Paragraphs>20</Paragraphs>
  <Words>1527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Sue Leonard</dc:creator>
  <cp:lastModifiedBy/>
  <dcterms:modified xsi:type="dcterms:W3CDTF">2018-02-27T22:22:00Z</dcterms:modified>
</cp:coreProperties>
</file>